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DD2A1D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变压器相间短路后备保护</w:t>
            </w:r>
          </w:p>
        </w:tc>
      </w:tr>
      <w:tr w:rsidR="00DD2A1D">
        <w:trPr>
          <w:trHeight w:hRule="exact" w:val="397"/>
        </w:trPr>
        <w:tc>
          <w:tcPr>
            <w:tcW w:w="1271" w:type="dxa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DD2A1D" w:rsidRDefault="004864B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DD2A1D" w:rsidRDefault="009C338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25</w:t>
            </w:r>
          </w:p>
        </w:tc>
      </w:tr>
      <w:tr w:rsidR="00DD2A1D">
        <w:trPr>
          <w:trHeight w:hRule="exact" w:val="397"/>
        </w:trPr>
        <w:tc>
          <w:tcPr>
            <w:tcW w:w="1271" w:type="dxa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DD2A1D" w:rsidRDefault="004864B1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DD2A1D">
        <w:trPr>
          <w:trHeight w:hRule="exact" w:val="397"/>
        </w:trPr>
        <w:tc>
          <w:tcPr>
            <w:tcW w:w="1271" w:type="dxa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DD2A1D" w:rsidRDefault="004864B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DD2A1D" w:rsidRDefault="004864B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DD2A1D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DD2A1D">
        <w:trPr>
          <w:trHeight w:hRule="exact" w:val="397"/>
        </w:trPr>
        <w:tc>
          <w:tcPr>
            <w:tcW w:w="1271" w:type="dxa"/>
            <w:vMerge/>
            <w:vAlign w:val="center"/>
          </w:tcPr>
          <w:p w:rsidR="00DD2A1D" w:rsidRDefault="00DD2A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过电流保护工作原理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bookmarkStart w:id="0" w:name="_GoBack"/>
            <w:bookmarkEnd w:id="0"/>
          </w:p>
        </w:tc>
      </w:tr>
      <w:tr w:rsidR="00DD2A1D">
        <w:trPr>
          <w:trHeight w:hRule="exact" w:val="397"/>
        </w:trPr>
        <w:tc>
          <w:tcPr>
            <w:tcW w:w="1271" w:type="dxa"/>
            <w:vMerge/>
            <w:vAlign w:val="center"/>
          </w:tcPr>
          <w:p w:rsidR="00DD2A1D" w:rsidRDefault="00DD2A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</w:t>
            </w:r>
            <w:r>
              <w:rPr>
                <w:rFonts w:ascii="仿宋" w:eastAsia="仿宋" w:hAnsi="仿宋" w:hint="eastAsia"/>
                <w:bCs/>
                <w:szCs w:val="21"/>
              </w:rPr>
              <w:t>判断</w:t>
            </w:r>
            <w:r>
              <w:rPr>
                <w:rFonts w:ascii="仿宋" w:eastAsia="仿宋" w:hAnsi="仿宋" w:hint="eastAsia"/>
                <w:bCs/>
                <w:szCs w:val="21"/>
              </w:rPr>
              <w:t>变压器相间短路后备保护范围</w:t>
            </w:r>
            <w:r>
              <w:rPr>
                <w:rFonts w:ascii="仿宋" w:eastAsia="仿宋" w:hAnsi="仿宋"/>
                <w:bCs/>
                <w:szCs w:val="21"/>
              </w:rPr>
              <w:t>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D2A1D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变压器相间短路后备保护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D2A1D">
        <w:trPr>
          <w:trHeight w:hRule="exact" w:val="397"/>
        </w:trPr>
        <w:tc>
          <w:tcPr>
            <w:tcW w:w="1271" w:type="dxa"/>
            <w:vMerge/>
            <w:vAlign w:val="center"/>
          </w:tcPr>
          <w:p w:rsidR="00DD2A1D" w:rsidRDefault="00DD2A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过电流保护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D2A1D">
        <w:trPr>
          <w:trHeight w:hRule="exact" w:val="972"/>
        </w:trPr>
        <w:tc>
          <w:tcPr>
            <w:tcW w:w="1271" w:type="dxa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DD2A1D">
        <w:trPr>
          <w:trHeight w:hRule="exact" w:val="715"/>
        </w:trPr>
        <w:tc>
          <w:tcPr>
            <w:tcW w:w="1271" w:type="dxa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D2A1D">
        <w:trPr>
          <w:trHeight w:val="397"/>
        </w:trPr>
        <w:tc>
          <w:tcPr>
            <w:tcW w:w="1271" w:type="dxa"/>
            <w:vMerge w:val="restart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D2A1D" w:rsidRDefault="004864B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DD2A1D">
        <w:trPr>
          <w:trHeight w:val="397"/>
        </w:trPr>
        <w:tc>
          <w:tcPr>
            <w:tcW w:w="1271" w:type="dxa"/>
            <w:vMerge/>
            <w:vAlign w:val="center"/>
          </w:tcPr>
          <w:p w:rsidR="00DD2A1D" w:rsidRDefault="00DD2A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DD2A1D">
        <w:trPr>
          <w:trHeight w:val="575"/>
        </w:trPr>
        <w:tc>
          <w:tcPr>
            <w:tcW w:w="1271" w:type="dxa"/>
            <w:vMerge w:val="restart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DD2A1D">
        <w:trPr>
          <w:trHeight w:val="4240"/>
        </w:trPr>
        <w:tc>
          <w:tcPr>
            <w:tcW w:w="1271" w:type="dxa"/>
            <w:vMerge/>
            <w:vAlign w:val="center"/>
          </w:tcPr>
          <w:p w:rsidR="00DD2A1D" w:rsidRDefault="00DD2A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变压器相间短路后备保护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真空断路器技术参数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>
              <w:rPr>
                <w:rFonts w:ascii="仿宋" w:eastAsia="仿宋" w:hAnsi="仿宋" w:hint="eastAsia"/>
                <w:bCs/>
                <w:szCs w:val="21"/>
              </w:rPr>
              <w:t>变压器相间短路后备保护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D2A1D">
        <w:tc>
          <w:tcPr>
            <w:tcW w:w="1271" w:type="dxa"/>
            <w:vMerge/>
            <w:vAlign w:val="center"/>
          </w:tcPr>
          <w:p w:rsidR="00DD2A1D" w:rsidRDefault="00DD2A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变压器相间短路后备保护有哪些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  <w:p w:rsidR="00DD2A1D" w:rsidRDefault="00DD2A1D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变压器相间短路过电流保护微课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DD2A1D">
        <w:tc>
          <w:tcPr>
            <w:tcW w:w="1271" w:type="dxa"/>
            <w:vMerge/>
            <w:vAlign w:val="center"/>
          </w:tcPr>
          <w:p w:rsidR="00DD2A1D" w:rsidRDefault="00DD2A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DD2A1D" w:rsidRDefault="00DD2A1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变压器相间短路后备保护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变压器相间短路后备保护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变压器相间短路后备保护</w:t>
            </w:r>
            <w:r>
              <w:rPr>
                <w:rFonts w:ascii="仿宋" w:eastAsia="仿宋" w:hAnsi="仿宋" w:hint="eastAsia"/>
                <w:bCs/>
                <w:szCs w:val="21"/>
              </w:rPr>
              <w:t>等相关知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讲解</w:t>
            </w:r>
          </w:p>
        </w:tc>
      </w:tr>
      <w:tr w:rsidR="00DD2A1D">
        <w:trPr>
          <w:trHeight w:val="2375"/>
        </w:trPr>
        <w:tc>
          <w:tcPr>
            <w:tcW w:w="1271" w:type="dxa"/>
            <w:vMerge/>
            <w:vAlign w:val="center"/>
          </w:tcPr>
          <w:p w:rsidR="00DD2A1D" w:rsidRDefault="00DD2A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DD2A1D" w:rsidRDefault="00DD2A1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变压器相间短路后备保护</w:t>
            </w:r>
            <w:r>
              <w:rPr>
                <w:rFonts w:ascii="仿宋" w:eastAsia="仿宋" w:hAnsi="仿宋" w:hint="eastAsia"/>
                <w:bCs/>
                <w:szCs w:val="21"/>
              </w:rPr>
              <w:t>的互动习题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DD2A1D">
        <w:trPr>
          <w:trHeight w:val="1733"/>
        </w:trPr>
        <w:tc>
          <w:tcPr>
            <w:tcW w:w="1271" w:type="dxa"/>
            <w:vMerge/>
            <w:vAlign w:val="center"/>
          </w:tcPr>
          <w:p w:rsidR="00DD2A1D" w:rsidRDefault="00DD2A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DD2A1D" w:rsidRDefault="004864B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DD2A1D">
        <w:trPr>
          <w:trHeight w:val="1816"/>
        </w:trPr>
        <w:tc>
          <w:tcPr>
            <w:tcW w:w="1271" w:type="dxa"/>
            <w:vAlign w:val="center"/>
          </w:tcPr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DD2A1D" w:rsidRDefault="004864B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DD2A1D" w:rsidRDefault="004864B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DD2A1D" w:rsidRDefault="00DD2A1D"/>
    <w:sectPr w:rsidR="00DD2A1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4B1" w:rsidRDefault="004864B1">
      <w:r>
        <w:separator/>
      </w:r>
    </w:p>
  </w:endnote>
  <w:endnote w:type="continuationSeparator" w:id="0">
    <w:p w:rsidR="004864B1" w:rsidRDefault="00486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4B1" w:rsidRDefault="004864B1">
      <w:r>
        <w:separator/>
      </w:r>
    </w:p>
  </w:footnote>
  <w:footnote w:type="continuationSeparator" w:id="0">
    <w:p w:rsidR="004864B1" w:rsidRDefault="00486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A1D" w:rsidRDefault="004864B1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4864B1"/>
    <w:rsid w:val="009C3389"/>
    <w:rsid w:val="00DD2A1D"/>
    <w:rsid w:val="201C6220"/>
    <w:rsid w:val="23DC2D1A"/>
    <w:rsid w:val="28C813D0"/>
    <w:rsid w:val="42C02813"/>
    <w:rsid w:val="5435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DAA1BDF-81A6-4057-B93C-1CCBEAFFA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1142</Characters>
  <Application>Microsoft Office Word</Application>
  <DocSecurity>0</DocSecurity>
  <Lines>9</Lines>
  <Paragraphs>2</Paragraphs>
  <ScaleCrop>false</ScaleCrop>
  <Company>Microsoft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2021-01-31T10:59:00Z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